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FE08B" w14:textId="434E4934" w:rsidR="000859B7" w:rsidRDefault="00553426" w:rsidP="00553426">
      <w:pPr>
        <w:jc w:val="center"/>
        <w:rPr>
          <w:rFonts w:ascii="Cambria" w:hAnsi="Cambria" w:cs="Cambria"/>
          <w:sz w:val="28"/>
          <w:szCs w:val="28"/>
        </w:rPr>
      </w:pPr>
      <w:bookmarkStart w:id="0" w:name="_Hlk191468245"/>
      <w:bookmarkEnd w:id="0"/>
      <w:r>
        <w:rPr>
          <w:rFonts w:ascii="Cambria" w:hAnsi="Cambria" w:cs="Cambria"/>
          <w:b/>
          <w:bCs/>
          <w:sz w:val="28"/>
          <w:szCs w:val="28"/>
        </w:rPr>
        <w:t xml:space="preserve">Описание серии социальных роликов </w:t>
      </w:r>
      <w:r w:rsidRPr="00553426">
        <w:rPr>
          <w:rFonts w:ascii="Cambria" w:hAnsi="Cambria" w:cs="Cambria"/>
          <w:b/>
          <w:bCs/>
          <w:sz w:val="28"/>
          <w:szCs w:val="28"/>
        </w:rPr>
        <w:t>«Одна ошибка»</w:t>
      </w:r>
      <w:r>
        <w:rPr>
          <w:rFonts w:ascii="Cambria" w:hAnsi="Cambria" w:cs="Cambria"/>
          <w:b/>
          <w:bCs/>
          <w:sz w:val="28"/>
          <w:szCs w:val="28"/>
        </w:rPr>
        <w:t>.</w:t>
      </w:r>
      <w:r>
        <w:rPr>
          <w:rFonts w:ascii="Cambria" w:hAnsi="Cambria" w:cs="Cambria"/>
          <w:b/>
          <w:bCs/>
          <w:sz w:val="28"/>
          <w:szCs w:val="28"/>
        </w:rPr>
        <w:br/>
        <w:t>Комментарий продюсера, начальника отдела медиакоммуникаций</w:t>
      </w:r>
      <w:r>
        <w:rPr>
          <w:rFonts w:ascii="Cambria" w:hAnsi="Cambria" w:cs="Cambria"/>
          <w:b/>
          <w:bCs/>
          <w:sz w:val="28"/>
          <w:szCs w:val="28"/>
        </w:rPr>
        <w:br/>
        <w:t>НЦПТИ Кирилла Лаврова:</w:t>
      </w:r>
    </w:p>
    <w:p w14:paraId="382614C8" w14:textId="77777777" w:rsidR="000859B7" w:rsidRDefault="00000000" w:rsidP="005553E5">
      <w:pPr>
        <w:spacing w:after="0" w:line="360" w:lineRule="auto"/>
        <w:ind w:firstLine="708"/>
        <w:jc w:val="both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«Одна ошибка» — это серия социальных короткометражных роликов о молодых людях, которые становятся участниками террористической деятельности не из-за идеологии, а вследствие манипуляций, постоянного давления и желания самим решить серьезные проблемы.</w:t>
      </w:r>
    </w:p>
    <w:p w14:paraId="27F7FFDE" w14:textId="5DE748DC" w:rsidR="000859B7" w:rsidRDefault="00000000" w:rsidP="005553E5">
      <w:pPr>
        <w:spacing w:after="0" w:line="360" w:lineRule="auto"/>
        <w:ind w:firstLine="708"/>
        <w:jc w:val="both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У каждого есть понятная мечта, бытовая проблема или желани</w:t>
      </w:r>
      <w:r w:rsidR="005553E5">
        <w:rPr>
          <w:rFonts w:ascii="Cambria" w:hAnsi="Cambria" w:cs="Cambria"/>
          <w:sz w:val="28"/>
          <w:szCs w:val="28"/>
        </w:rPr>
        <w:t>е</w:t>
      </w:r>
      <w:r>
        <w:rPr>
          <w:rFonts w:ascii="Cambria" w:hAnsi="Cambria" w:cs="Cambria"/>
          <w:sz w:val="28"/>
          <w:szCs w:val="28"/>
        </w:rPr>
        <w:t>: заработать, понравиться, воплотить мечту, построить будущее. Но одна ошибка запускает цепочку событий, которая приводит к тяжелым и необратимым последствиям.</w:t>
      </w:r>
    </w:p>
    <w:p w14:paraId="701FBEDD" w14:textId="77777777" w:rsidR="000859B7" w:rsidRDefault="00000000" w:rsidP="005553E5">
      <w:pPr>
        <w:spacing w:after="0" w:line="360" w:lineRule="auto"/>
        <w:ind w:firstLine="708"/>
        <w:jc w:val="both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Серия роликов показывает механику вовлечения молодежи через цифровые манипуляции и социальную инженерию.</w:t>
      </w:r>
    </w:p>
    <w:p w14:paraId="0CEA0E9D" w14:textId="71ADFB94" w:rsidR="000859B7" w:rsidRDefault="00000000" w:rsidP="005553E5">
      <w:pPr>
        <w:spacing w:after="0" w:line="360" w:lineRule="auto"/>
        <w:ind w:firstLine="708"/>
        <w:jc w:val="both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Ключевая особенность проекта — отказ от образа «очевидного преступника». Артем, Данила и Маша, чьи истории мы покажем, не являются радикалами или преступниками в привычном понимании. Это обычные люди, которых шаг за шагом втягивают в противоправные действия.</w:t>
      </w:r>
      <w:r w:rsidRPr="00553426">
        <w:rPr>
          <w:rFonts w:ascii="Cambria" w:hAnsi="Cambria" w:cs="Cambria"/>
          <w:sz w:val="28"/>
          <w:szCs w:val="28"/>
        </w:rPr>
        <w:t xml:space="preserve"> </w:t>
      </w:r>
      <w:r>
        <w:rPr>
          <w:rFonts w:ascii="Cambria" w:hAnsi="Cambria" w:cs="Cambria"/>
          <w:sz w:val="28"/>
          <w:szCs w:val="28"/>
        </w:rPr>
        <w:t>Но главное — все эти истории можно было остановить гораздо раньше.</w:t>
      </w:r>
    </w:p>
    <w:p w14:paraId="0A3F46EC" w14:textId="3A995C12" w:rsidR="000859B7" w:rsidRDefault="00000000" w:rsidP="005553E5">
      <w:pPr>
        <w:spacing w:after="0" w:line="360" w:lineRule="auto"/>
        <w:ind w:firstLine="708"/>
        <w:jc w:val="both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Мы хотели показать, что важно не оставаться один на один со страхом, не пытаться исправить всё самостоятельно, проверять информацию, делиться с близкими своими проблемами.</w:t>
      </w:r>
    </w:p>
    <w:p w14:paraId="3B454F70" w14:textId="77777777" w:rsidR="005553E5" w:rsidRDefault="00553426" w:rsidP="005553E5">
      <w:pPr>
        <w:spacing w:after="0" w:line="360" w:lineRule="auto"/>
        <w:ind w:firstLine="709"/>
        <w:jc w:val="both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Сегодня</w:t>
      </w:r>
      <w:r w:rsidR="005553E5" w:rsidRPr="005553E5">
        <w:rPr>
          <w:rFonts w:ascii="Cambria" w:hAnsi="Cambria" w:cs="Cambria"/>
          <w:sz w:val="28"/>
          <w:szCs w:val="28"/>
        </w:rPr>
        <w:t xml:space="preserve"> </w:t>
      </w:r>
      <w:r w:rsidR="005553E5">
        <w:rPr>
          <w:rFonts w:ascii="Cambria" w:hAnsi="Cambria" w:cs="Cambria"/>
          <w:sz w:val="28"/>
          <w:szCs w:val="28"/>
        </w:rPr>
        <w:t xml:space="preserve">перед </w:t>
      </w:r>
      <w:r>
        <w:rPr>
          <w:rFonts w:ascii="Cambria" w:hAnsi="Cambria" w:cs="Cambria"/>
          <w:sz w:val="28"/>
          <w:szCs w:val="28"/>
        </w:rPr>
        <w:t>вами первый социальный ролик из серии «Одна ошибка» — история Артема.</w:t>
      </w:r>
    </w:p>
    <w:p w14:paraId="13AE10EB" w14:textId="0A06A06E" w:rsidR="005553E5" w:rsidRDefault="005553E5" w:rsidP="005553E5">
      <w:pPr>
        <w:spacing w:after="0" w:line="360" w:lineRule="auto"/>
        <w:ind w:firstLine="709"/>
        <w:jc w:val="both"/>
        <w:rPr>
          <w:rFonts w:ascii="Cambria" w:hAnsi="Cambria" w:cs="Cambria"/>
          <w:sz w:val="28"/>
          <w:szCs w:val="28"/>
        </w:rPr>
      </w:pPr>
      <w:r w:rsidRPr="005553E5">
        <w:rPr>
          <w:rFonts w:ascii="Cambria" w:hAnsi="Cambria" w:cs="Cambria"/>
          <w:sz w:val="28"/>
          <w:szCs w:val="28"/>
        </w:rPr>
        <w:t>Серия видеороликов разработана НЦПТИ совместно с ГУ МВД России по Ростовской области.</w:t>
      </w:r>
    </w:p>
    <w:p w14:paraId="2DC1F75E" w14:textId="77777777" w:rsidR="00B60D74" w:rsidRPr="005553E5" w:rsidRDefault="00B60D74" w:rsidP="00B60D74">
      <w:pPr>
        <w:spacing w:after="0" w:line="360" w:lineRule="auto"/>
        <w:jc w:val="both"/>
        <w:rPr>
          <w:rFonts w:ascii="Cambria" w:hAnsi="Cambria" w:cs="Cambria"/>
          <w:sz w:val="28"/>
          <w:szCs w:val="28"/>
        </w:rPr>
      </w:pPr>
    </w:p>
    <w:sectPr w:rsidR="00B60D74" w:rsidRPr="005553E5">
      <w:headerReference w:type="default" r:id="rId7"/>
      <w:headerReference w:type="first" r:id="rId8"/>
      <w:pgSz w:w="11906" w:h="16838"/>
      <w:pgMar w:top="98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17A70" w14:textId="77777777" w:rsidR="00A14BAD" w:rsidRDefault="00A14BAD">
      <w:pPr>
        <w:spacing w:line="240" w:lineRule="auto"/>
      </w:pPr>
      <w:r>
        <w:separator/>
      </w:r>
    </w:p>
  </w:endnote>
  <w:endnote w:type="continuationSeparator" w:id="0">
    <w:p w14:paraId="79E1B0C5" w14:textId="77777777" w:rsidR="00A14BAD" w:rsidRDefault="00A14B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1B6E9" w14:textId="77777777" w:rsidR="00A14BAD" w:rsidRDefault="00A14BAD">
      <w:pPr>
        <w:spacing w:after="0"/>
      </w:pPr>
      <w:r>
        <w:separator/>
      </w:r>
    </w:p>
  </w:footnote>
  <w:footnote w:type="continuationSeparator" w:id="0">
    <w:p w14:paraId="7BCD4ADC" w14:textId="77777777" w:rsidR="00A14BAD" w:rsidRDefault="00A14BA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73" w:type="dxa"/>
      <w:tblInd w:w="-108" w:type="dxa"/>
      <w:tblLook w:val="04A0" w:firstRow="1" w:lastRow="0" w:firstColumn="1" w:lastColumn="0" w:noHBand="0" w:noVBand="1"/>
    </w:tblPr>
    <w:tblGrid>
      <w:gridCol w:w="3225"/>
      <w:gridCol w:w="3224"/>
      <w:gridCol w:w="3224"/>
    </w:tblGrid>
    <w:tr w:rsidR="000859B7" w14:paraId="607283BD" w14:textId="77777777">
      <w:trPr>
        <w:gridAfter w:val="2"/>
        <w:trHeight w:val="177"/>
      </w:trPr>
      <w:tc>
        <w:tcPr>
          <w:tcW w:w="0" w:type="auto"/>
        </w:tcPr>
        <w:p w14:paraId="08FCAC81" w14:textId="77777777" w:rsidR="000859B7" w:rsidRDefault="000859B7">
          <w:pPr>
            <w:spacing w:after="0" w:line="276" w:lineRule="auto"/>
            <w:jc w:val="both"/>
            <w:rPr>
              <w:rFonts w:ascii="Cambria" w:eastAsia="Calibri" w:hAnsi="Cambria" w:cs="Times New Roman"/>
              <w:bCs/>
              <w:kern w:val="0"/>
              <w:sz w:val="24"/>
              <w:szCs w:val="24"/>
              <w14:ligatures w14:val="none"/>
            </w:rPr>
          </w:pPr>
        </w:p>
      </w:tc>
    </w:tr>
    <w:tr w:rsidR="000859B7" w14:paraId="1A6A9FC7" w14:textId="77777777">
      <w:trPr>
        <w:trHeight w:val="313"/>
      </w:trPr>
      <w:tc>
        <w:tcPr>
          <w:tcW w:w="0" w:type="auto"/>
        </w:tcPr>
        <w:p w14:paraId="2434D050" w14:textId="3313F62D" w:rsidR="000859B7" w:rsidRDefault="000859B7">
          <w:pPr>
            <w:pStyle w:val="a9"/>
            <w:rPr>
              <w:rFonts w:ascii="Cambria" w:hAnsi="Cambria"/>
              <w:bCs/>
              <w:sz w:val="24"/>
              <w:szCs w:val="24"/>
            </w:rPr>
          </w:pPr>
        </w:p>
      </w:tc>
      <w:tc>
        <w:tcPr>
          <w:tcW w:w="0" w:type="auto"/>
        </w:tcPr>
        <w:p w14:paraId="1928610F" w14:textId="77777777" w:rsidR="000859B7" w:rsidRDefault="000859B7">
          <w:pPr>
            <w:pStyle w:val="a9"/>
            <w:jc w:val="center"/>
            <w:rPr>
              <w:rFonts w:ascii="Cambria" w:hAnsi="Cambria"/>
              <w:bCs/>
              <w:sz w:val="24"/>
              <w:szCs w:val="24"/>
            </w:rPr>
          </w:pPr>
        </w:p>
      </w:tc>
      <w:tc>
        <w:tcPr>
          <w:tcW w:w="0" w:type="auto"/>
        </w:tcPr>
        <w:p w14:paraId="3D2047AD" w14:textId="1FD7F66A" w:rsidR="000859B7" w:rsidRDefault="000859B7">
          <w:pPr>
            <w:pStyle w:val="a9"/>
            <w:tabs>
              <w:tab w:val="left" w:pos="1304"/>
              <w:tab w:val="right" w:pos="9281"/>
            </w:tabs>
            <w:jc w:val="center"/>
            <w:rPr>
              <w:rFonts w:ascii="Cambria" w:hAnsi="Cambria"/>
              <w:bCs/>
              <w:sz w:val="24"/>
              <w:szCs w:val="24"/>
            </w:rPr>
          </w:pPr>
        </w:p>
      </w:tc>
    </w:tr>
  </w:tbl>
  <w:p w14:paraId="0780464D" w14:textId="77777777" w:rsidR="000859B7" w:rsidRDefault="000859B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1521"/>
      <w:gridCol w:w="7834"/>
    </w:tblGrid>
    <w:tr w:rsidR="000859B7" w14:paraId="7CB02E55" w14:textId="77777777">
      <w:trPr>
        <w:trHeight w:val="695"/>
      </w:trPr>
      <w:tc>
        <w:tcPr>
          <w:tcW w:w="0" w:type="auto"/>
          <w:vAlign w:val="center"/>
        </w:tcPr>
        <w:p w14:paraId="75BB375A" w14:textId="77777777" w:rsidR="000859B7" w:rsidRDefault="00000000">
          <w:pPr>
            <w:spacing w:after="0" w:line="276" w:lineRule="auto"/>
            <w:jc w:val="center"/>
            <w:rPr>
              <w:rFonts w:ascii="Cambria" w:eastAsia="Calibri" w:hAnsi="Cambria" w:cs="Times New Roman"/>
              <w:kern w:val="0"/>
              <w:sz w:val="28"/>
              <w:szCs w:val="26"/>
              <w14:ligatures w14:val="none"/>
            </w:rPr>
          </w:pPr>
          <w:r>
            <w:rPr>
              <w:rFonts w:ascii="Cambria" w:eastAsia="Calibri" w:hAnsi="Cambria" w:cs="Times New Roman"/>
              <w:b/>
              <w:bCs/>
              <w:noProof/>
              <w:kern w:val="0"/>
              <w:sz w:val="28"/>
              <w:szCs w:val="26"/>
              <w14:ligatures w14:val="none"/>
            </w:rPr>
            <w:drawing>
              <wp:inline distT="0" distB="0" distL="0" distR="0" wp14:anchorId="646C1603" wp14:editId="21956827">
                <wp:extent cx="828675" cy="333375"/>
                <wp:effectExtent l="0" t="0" r="0" b="9525"/>
                <wp:docPr id="1738451955" name="Рисунок 17384519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38451955" name="Рисунок 173845195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8675" cy="333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</w:tcPr>
        <w:p w14:paraId="2A475F79" w14:textId="77777777" w:rsidR="000859B7" w:rsidRDefault="00000000">
          <w:pPr>
            <w:spacing w:after="0" w:line="276" w:lineRule="auto"/>
            <w:jc w:val="center"/>
            <w:rPr>
              <w:rFonts w:ascii="Cambria" w:eastAsia="Calibri" w:hAnsi="Cambria" w:cs="Times New Roman"/>
              <w:kern w:val="0"/>
              <w:sz w:val="24"/>
              <w:szCs w:val="24"/>
              <w14:ligatures w14:val="none"/>
            </w:rPr>
          </w:pPr>
          <w:r>
            <w:rPr>
              <w:rFonts w:ascii="Cambria" w:eastAsia="Calibri" w:hAnsi="Cambria" w:cs="Times New Roman"/>
              <w:kern w:val="0"/>
              <w:szCs w:val="24"/>
              <w14:ligatures w14:val="none"/>
            </w:rPr>
            <w:t>Министерство науки и высшего образования Российской Федерации</w:t>
          </w:r>
        </w:p>
        <w:p w14:paraId="0F266E77" w14:textId="77777777" w:rsidR="000859B7" w:rsidRDefault="00000000">
          <w:pPr>
            <w:spacing w:after="0" w:line="276" w:lineRule="auto"/>
            <w:jc w:val="center"/>
            <w:rPr>
              <w:rFonts w:ascii="Cambria" w:eastAsia="Calibri" w:hAnsi="Cambria" w:cs="Times New Roman"/>
              <w:b/>
              <w:kern w:val="0"/>
              <w:szCs w:val="24"/>
              <w14:ligatures w14:val="none"/>
            </w:rPr>
          </w:pPr>
          <w:r>
            <w:rPr>
              <w:rFonts w:ascii="Cambria" w:eastAsia="Calibri" w:hAnsi="Cambria" w:cs="Times New Roman"/>
              <w:b/>
              <w:kern w:val="0"/>
              <w:szCs w:val="26"/>
              <w14:ligatures w14:val="none"/>
            </w:rPr>
            <w:t xml:space="preserve">Национальный центр </w:t>
          </w:r>
          <w:r>
            <w:rPr>
              <w:rFonts w:ascii="Cambria" w:eastAsia="Calibri" w:hAnsi="Cambria" w:cs="Times New Roman"/>
              <w:b/>
              <w:kern w:val="0"/>
              <w:szCs w:val="24"/>
              <w14:ligatures w14:val="none"/>
            </w:rPr>
            <w:t>информационного противодействия терроризму и экстремизму в образовательной среде и сети Интернет</w:t>
          </w:r>
        </w:p>
        <w:tbl>
          <w:tblPr>
            <w:tblW w:w="0" w:type="auto"/>
            <w:tblLook w:val="04A0" w:firstRow="1" w:lastRow="0" w:firstColumn="1" w:lastColumn="0" w:noHBand="0" w:noVBand="1"/>
          </w:tblPr>
          <w:tblGrid>
            <w:gridCol w:w="4000"/>
            <w:gridCol w:w="3411"/>
          </w:tblGrid>
          <w:tr w:rsidR="000859B7" w14:paraId="7824C961" w14:textId="77777777">
            <w:trPr>
              <w:trHeight w:val="177"/>
            </w:trPr>
            <w:tc>
              <w:tcPr>
                <w:tcW w:w="0" w:type="auto"/>
              </w:tcPr>
              <w:p w14:paraId="506885F9" w14:textId="77777777" w:rsidR="000859B7" w:rsidRDefault="00000000">
                <w:pPr>
                  <w:spacing w:after="0" w:line="276" w:lineRule="auto"/>
                  <w:jc w:val="both"/>
                  <w:rPr>
                    <w:rFonts w:ascii="Cambria" w:eastAsia="Calibri" w:hAnsi="Cambria" w:cs="Times New Roman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ambria" w:eastAsia="Calibri" w:hAnsi="Cambria" w:cs="Times New Roman"/>
                    <w:kern w:val="0"/>
                    <w:sz w:val="16"/>
                    <w:szCs w:val="16"/>
                    <w14:ligatures w14:val="none"/>
                  </w:rPr>
                  <w:t xml:space="preserve">344011, г. </w:t>
                </w:r>
                <w:proofErr w:type="spellStart"/>
                <w:r>
                  <w:rPr>
                    <w:rFonts w:ascii="Cambria" w:eastAsia="Calibri" w:hAnsi="Cambria" w:cs="Times New Roman"/>
                    <w:kern w:val="0"/>
                    <w:sz w:val="16"/>
                    <w:szCs w:val="16"/>
                    <w14:ligatures w14:val="none"/>
                  </w:rPr>
                  <w:t>Ростов</w:t>
                </w:r>
                <w:proofErr w:type="spellEnd"/>
                <w:r>
                  <w:rPr>
                    <w:rFonts w:ascii="Cambria" w:eastAsia="Calibri" w:hAnsi="Cambria" w:cs="Times New Roman"/>
                    <w:kern w:val="0"/>
                    <w:sz w:val="16"/>
                    <w:szCs w:val="16"/>
                    <w14:ligatures w14:val="none"/>
                  </w:rPr>
                  <w:t xml:space="preserve">-на-Дону, ул. Города Волос, д. 6, а/я </w:t>
                </w:r>
              </w:p>
            </w:tc>
            <w:tc>
              <w:tcPr>
                <w:tcW w:w="0" w:type="auto"/>
              </w:tcPr>
              <w:p w14:paraId="54E88AE1" w14:textId="77777777" w:rsidR="000859B7" w:rsidRDefault="00000000">
                <w:pPr>
                  <w:spacing w:after="0" w:line="276" w:lineRule="auto"/>
                  <w:jc w:val="both"/>
                  <w:rPr>
                    <w:rFonts w:ascii="Cambria" w:eastAsia="Calibri" w:hAnsi="Cambria" w:cs="Times New Roman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ambria" w:eastAsia="Calibri" w:hAnsi="Cambria" w:cs="Times New Roman"/>
                    <w:kern w:val="0"/>
                    <w:sz w:val="16"/>
                    <w:szCs w:val="16"/>
                    <w14:ligatures w14:val="none"/>
                  </w:rPr>
                  <w:t xml:space="preserve">тел./факс +7 (863) 201-28-22 / </w:t>
                </w:r>
                <w:proofErr w:type="spellStart"/>
                <w:r>
                  <w:rPr>
                    <w:rFonts w:ascii="Cambria" w:eastAsia="Calibri" w:hAnsi="Cambria" w:cs="Times New Roman"/>
                    <w:kern w:val="0"/>
                    <w:sz w:val="16"/>
                    <w:szCs w:val="16"/>
                    <w14:ligatures w14:val="none"/>
                  </w:rPr>
                  <w:t>info@ncpti</w:t>
                </w:r>
                <w:proofErr w:type="spellEnd"/>
                <w:r>
                  <w:rPr>
                    <w:rFonts w:ascii="Cambria" w:eastAsia="Calibri" w:hAnsi="Cambria" w:cs="Times New Roman"/>
                    <w:kern w:val="0"/>
                    <w:sz w:val="16"/>
                    <w:szCs w:val="16"/>
                    <w14:ligatures w14:val="none"/>
                  </w:rPr>
                  <w:t>.</w:t>
                </w:r>
                <w:proofErr w:type="spellStart"/>
                <w:r>
                  <w:rPr>
                    <w:rFonts w:ascii="Cambria" w:eastAsia="Calibri" w:hAnsi="Cambria" w:cs="Times New Roman"/>
                    <w:kern w:val="0"/>
                    <w:sz w:val="16"/>
                    <w:szCs w:val="16"/>
                    <w:lang w:val="en-US"/>
                    <w14:ligatures w14:val="none"/>
                  </w:rPr>
                  <w:t>ru</w:t>
                </w:r>
                <w:proofErr w:type="spellEnd"/>
              </w:p>
            </w:tc>
          </w:tr>
        </w:tbl>
        <w:p w14:paraId="364E80CE" w14:textId="77777777" w:rsidR="000859B7" w:rsidRDefault="000859B7">
          <w:pPr>
            <w:spacing w:after="0" w:line="276" w:lineRule="auto"/>
            <w:jc w:val="center"/>
            <w:rPr>
              <w:rFonts w:ascii="Cambria" w:eastAsia="Calibri" w:hAnsi="Cambria" w:cs="Times New Roman"/>
              <w:kern w:val="0"/>
              <w:sz w:val="24"/>
              <w:szCs w:val="24"/>
              <w14:ligatures w14:val="none"/>
            </w:rPr>
          </w:pPr>
        </w:p>
      </w:tc>
    </w:tr>
  </w:tbl>
  <w:p w14:paraId="0DEE685F" w14:textId="77777777" w:rsidR="000859B7" w:rsidRDefault="000859B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9E0"/>
    <w:rsid w:val="000139E0"/>
    <w:rsid w:val="000749D7"/>
    <w:rsid w:val="000859B7"/>
    <w:rsid w:val="0025609C"/>
    <w:rsid w:val="002660CE"/>
    <w:rsid w:val="0027200E"/>
    <w:rsid w:val="002955EF"/>
    <w:rsid w:val="002E5F36"/>
    <w:rsid w:val="00324A98"/>
    <w:rsid w:val="00343EE9"/>
    <w:rsid w:val="0036181E"/>
    <w:rsid w:val="003716DD"/>
    <w:rsid w:val="00397779"/>
    <w:rsid w:val="003C7E29"/>
    <w:rsid w:val="003D47ED"/>
    <w:rsid w:val="00422738"/>
    <w:rsid w:val="004E0761"/>
    <w:rsid w:val="005115E2"/>
    <w:rsid w:val="00553426"/>
    <w:rsid w:val="005553E5"/>
    <w:rsid w:val="005D088D"/>
    <w:rsid w:val="0060510F"/>
    <w:rsid w:val="00633C3C"/>
    <w:rsid w:val="00656A50"/>
    <w:rsid w:val="006B570E"/>
    <w:rsid w:val="006F1E08"/>
    <w:rsid w:val="00715E40"/>
    <w:rsid w:val="00741152"/>
    <w:rsid w:val="00795048"/>
    <w:rsid w:val="007B07B6"/>
    <w:rsid w:val="007C271D"/>
    <w:rsid w:val="007E2118"/>
    <w:rsid w:val="008119C8"/>
    <w:rsid w:val="008544E5"/>
    <w:rsid w:val="008832B9"/>
    <w:rsid w:val="0089092C"/>
    <w:rsid w:val="008E70D1"/>
    <w:rsid w:val="009035AF"/>
    <w:rsid w:val="0093749E"/>
    <w:rsid w:val="00960C6F"/>
    <w:rsid w:val="009B6A03"/>
    <w:rsid w:val="009F5143"/>
    <w:rsid w:val="00A14BAD"/>
    <w:rsid w:val="00A27B47"/>
    <w:rsid w:val="00AD5387"/>
    <w:rsid w:val="00B60D74"/>
    <w:rsid w:val="00B900BC"/>
    <w:rsid w:val="00B96CA8"/>
    <w:rsid w:val="00BD4088"/>
    <w:rsid w:val="00BE2F9B"/>
    <w:rsid w:val="00C1361A"/>
    <w:rsid w:val="00C3671E"/>
    <w:rsid w:val="00CA5AFB"/>
    <w:rsid w:val="00D623D0"/>
    <w:rsid w:val="00D8253D"/>
    <w:rsid w:val="00D8707E"/>
    <w:rsid w:val="00DA56D9"/>
    <w:rsid w:val="00DB2B98"/>
    <w:rsid w:val="00ED1AD6"/>
    <w:rsid w:val="00F0322E"/>
    <w:rsid w:val="00F95DFF"/>
    <w:rsid w:val="18062757"/>
    <w:rsid w:val="427B2D8E"/>
    <w:rsid w:val="44003A3C"/>
    <w:rsid w:val="63CB0CE3"/>
    <w:rsid w:val="688B4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56919"/>
  <w15:docId w15:val="{DB0BC7AC-EB74-C94A-ACDC-BD2AB0999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qFormat/>
    <w:rPr>
      <w:vertAlign w:val="superscript"/>
    </w:rPr>
  </w:style>
  <w:style w:type="character" w:styleId="a4">
    <w:name w:val="Hyperlink"/>
    <w:basedOn w:val="a0"/>
    <w:uiPriority w:val="99"/>
    <w:unhideWhenUsed/>
    <w:qFormat/>
    <w:rPr>
      <w:color w:val="467886" w:themeColor="hyperlink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caption"/>
    <w:basedOn w:val="a"/>
    <w:next w:val="a"/>
    <w:uiPriority w:val="35"/>
    <w:unhideWhenUsed/>
    <w:qFormat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a7">
    <w:name w:val="footnote text"/>
    <w:basedOn w:val="a"/>
    <w:link w:val="a8"/>
    <w:uiPriority w:val="99"/>
    <w:semiHidden/>
    <w:unhideWhenUsed/>
    <w:qFormat/>
    <w:pPr>
      <w:spacing w:after="0" w:line="240" w:lineRule="auto"/>
      <w:ind w:firstLine="851"/>
      <w:jc w:val="both"/>
    </w:pPr>
    <w:rPr>
      <w:rFonts w:ascii="Cambria" w:eastAsia="Calibri" w:hAnsi="Cambria" w:cs="Times New Roman"/>
      <w:bCs/>
      <w:kern w:val="0"/>
      <w:sz w:val="20"/>
      <w:szCs w:val="20"/>
      <w14:ligatures w14:val="none"/>
    </w:rPr>
  </w:style>
  <w:style w:type="paragraph" w:styleId="a9">
    <w:name w:val="header"/>
    <w:basedOn w:val="a"/>
    <w:link w:val="aa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Title"/>
    <w:basedOn w:val="a"/>
    <w:next w:val="a"/>
    <w:link w:val="ac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d">
    <w:name w:val="footer"/>
    <w:basedOn w:val="a"/>
    <w:link w:val="ae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val="en-US"/>
    </w:rPr>
  </w:style>
  <w:style w:type="paragraph" w:styleId="af0">
    <w:name w:val="Subtitle"/>
    <w:basedOn w:val="a"/>
    <w:next w:val="a"/>
    <w:link w:val="af1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af2">
    <w:name w:val="Table Grid"/>
    <w:basedOn w:val="a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ac">
    <w:name w:val="Заголовок Знак"/>
    <w:basedOn w:val="a0"/>
    <w:link w:val="ab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1">
    <w:name w:val="Подзаголовок Знак"/>
    <w:basedOn w:val="a0"/>
    <w:link w:val="af0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qFormat/>
    <w:rPr>
      <w:i/>
      <w:iCs/>
      <w:color w:val="404040" w:themeColor="text1" w:themeTint="BF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ильное выделение1"/>
    <w:basedOn w:val="a0"/>
    <w:uiPriority w:val="21"/>
    <w:qFormat/>
    <w:rPr>
      <w:i/>
      <w:iCs/>
      <w:color w:val="0F4761" w:themeColor="accent1" w:themeShade="BF"/>
    </w:rPr>
  </w:style>
  <w:style w:type="paragraph" w:styleId="af4">
    <w:name w:val="Intense Quote"/>
    <w:basedOn w:val="a"/>
    <w:next w:val="a"/>
    <w:link w:val="af5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5">
    <w:name w:val="Выделенная цитата Знак"/>
    <w:basedOn w:val="a0"/>
    <w:link w:val="af4"/>
    <w:uiPriority w:val="30"/>
    <w:qFormat/>
    <w:rPr>
      <w:i/>
      <w:iCs/>
      <w:color w:val="0F4761" w:themeColor="accent1" w:themeShade="BF"/>
    </w:rPr>
  </w:style>
  <w:style w:type="character" w:customStyle="1" w:styleId="12">
    <w:name w:val="Сильная ссылка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a">
    <w:name w:val="Верхний колонтитул Знак"/>
    <w:basedOn w:val="a0"/>
    <w:link w:val="a9"/>
    <w:uiPriority w:val="99"/>
    <w:qFormat/>
  </w:style>
  <w:style w:type="character" w:customStyle="1" w:styleId="ae">
    <w:name w:val="Нижний колонтитул Знак"/>
    <w:basedOn w:val="a0"/>
    <w:link w:val="ad"/>
    <w:uiPriority w:val="99"/>
    <w:qFormat/>
  </w:style>
  <w:style w:type="paragraph" w:customStyle="1" w:styleId="af6">
    <w:name w:val="Основной_текст"/>
    <w:basedOn w:val="a"/>
    <w:link w:val="af7"/>
    <w:qFormat/>
    <w:pPr>
      <w:spacing w:after="0" w:line="276" w:lineRule="auto"/>
      <w:ind w:firstLine="709"/>
      <w:jc w:val="both"/>
    </w:pPr>
    <w:rPr>
      <w:rFonts w:ascii="Cambria" w:eastAsia="Calibri" w:hAnsi="Cambria" w:cs="Times New Roman"/>
      <w:bCs/>
      <w:kern w:val="0"/>
      <w:sz w:val="28"/>
      <w:szCs w:val="28"/>
      <w14:ligatures w14:val="none"/>
    </w:rPr>
  </w:style>
  <w:style w:type="character" w:customStyle="1" w:styleId="af7">
    <w:name w:val="Основной_текст Знак"/>
    <w:link w:val="af6"/>
    <w:qFormat/>
    <w:rPr>
      <w:rFonts w:ascii="Cambria" w:eastAsia="Calibri" w:hAnsi="Cambria" w:cs="Times New Roman"/>
      <w:bCs/>
      <w:kern w:val="0"/>
      <w:sz w:val="28"/>
      <w:szCs w:val="28"/>
      <w14:ligatures w14:val="none"/>
    </w:rPr>
  </w:style>
  <w:style w:type="character" w:customStyle="1" w:styleId="a8">
    <w:name w:val="Текст сноски Знак"/>
    <w:basedOn w:val="a0"/>
    <w:link w:val="a7"/>
    <w:uiPriority w:val="99"/>
    <w:semiHidden/>
    <w:qFormat/>
    <w:rPr>
      <w:rFonts w:ascii="Cambria" w:eastAsia="Calibri" w:hAnsi="Cambria" w:cs="Times New Roman"/>
      <w:bCs/>
      <w:kern w:val="0"/>
      <w:sz w:val="20"/>
      <w:szCs w:val="20"/>
      <w14:ligatures w14:val="none"/>
    </w:rPr>
  </w:style>
  <w:style w:type="character" w:customStyle="1" w:styleId="13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ACEF7-901A-4DE6-A094-7313D7A81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kicuk</dc:creator>
  <cp:lastModifiedBy>Сагайдачная Кристина Анатольевна</cp:lastModifiedBy>
  <cp:revision>3</cp:revision>
  <dcterms:created xsi:type="dcterms:W3CDTF">2026-05-14T07:46:00Z</dcterms:created>
  <dcterms:modified xsi:type="dcterms:W3CDTF">2026-05-14T08:36:00Z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eyJoZGlkIjoiNmJjYmNhNjFmZWU3NWNmM2RiYjdiYzc1YTRlZDU4YmUiLCJ1c2VySWQiOiIzNzI4MjMxMTQ1NDg1In0=</vt:lpwstr>
  </property>
  <property fmtid="{D5CDD505-2E9C-101B-9397-08002B2CF9AE}" pid="3" name="KSOProductBuildVer">
    <vt:lpwstr>1049-12.1.0.26372</vt:lpwstr>
  </property>
  <property fmtid="{D5CDD505-2E9C-101B-9397-08002B2CF9AE}" pid="4" name="ICV">
    <vt:lpwstr>1FFBF9143A94487383A5973F552F8881_13</vt:lpwstr>
  </property>
</Properties>
</file>